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D2A" w:rsidRDefault="002B1959">
      <w:pPr>
        <w:jc w:val="center"/>
        <w:rPr>
          <w:rFonts w:ascii="Century Gothic" w:eastAsia="Century Gothic" w:hAnsi="Century Gothic" w:cs="Century Gothic"/>
          <w:b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  <w:highlight w:val="yellow"/>
        </w:rPr>
        <w:t>1</w:t>
      </w:r>
      <w:r>
        <w:rPr>
          <w:rFonts w:ascii="Century Gothic" w:eastAsia="Century Gothic" w:hAnsi="Century Gothic" w:cs="Century Gothic"/>
          <w:b/>
          <w:highlight w:val="yellow"/>
          <w:vertAlign w:val="superscript"/>
        </w:rPr>
        <w:t>st</w:t>
      </w:r>
      <w:r>
        <w:rPr>
          <w:rFonts w:ascii="Century Gothic" w:eastAsia="Century Gothic" w:hAnsi="Century Gothic" w:cs="Century Gothic"/>
          <w:b/>
          <w:highlight w:val="yellow"/>
        </w:rPr>
        <w:t xml:space="preserve"> Nine </w:t>
      </w:r>
      <w:proofErr w:type="gramStart"/>
      <w:r>
        <w:rPr>
          <w:rFonts w:ascii="Century Gothic" w:eastAsia="Century Gothic" w:hAnsi="Century Gothic" w:cs="Century Gothic"/>
          <w:b/>
          <w:highlight w:val="yellow"/>
        </w:rPr>
        <w:t>Weeks</w:t>
      </w:r>
      <w:r>
        <w:rPr>
          <w:rFonts w:ascii="Century Gothic" w:eastAsia="Century Gothic" w:hAnsi="Century Gothic" w:cs="Century Gothic"/>
          <w:b/>
        </w:rPr>
        <w:t xml:space="preserve">  </w:t>
      </w:r>
      <w:r>
        <w:rPr>
          <w:rFonts w:ascii="Century Gothic" w:eastAsia="Century Gothic" w:hAnsi="Century Gothic" w:cs="Century Gothic"/>
          <w:b/>
          <w:highlight w:val="yellow"/>
        </w:rPr>
        <w:t>(</w:t>
      </w:r>
      <w:proofErr w:type="gramEnd"/>
      <w:r>
        <w:rPr>
          <w:rFonts w:ascii="Century Gothic" w:eastAsia="Century Gothic" w:hAnsi="Century Gothic" w:cs="Century Gothic"/>
          <w:b/>
          <w:highlight w:val="yellow"/>
        </w:rPr>
        <w:t xml:space="preserve">Grade Level/Course) </w:t>
      </w:r>
      <w:r>
        <w:rPr>
          <w:rFonts w:ascii="Century Gothic" w:eastAsia="Century Gothic" w:hAnsi="Century Gothic" w:cs="Century Gothic"/>
          <w:b/>
        </w:rPr>
        <w:t>– 201</w:t>
      </w:r>
      <w:r>
        <w:rPr>
          <w:rFonts w:ascii="Century Gothic" w:eastAsia="Century Gothic" w:hAnsi="Century Gothic" w:cs="Century Gothic"/>
          <w:b/>
        </w:rPr>
        <w:t>9</w:t>
      </w:r>
      <w:r>
        <w:rPr>
          <w:rFonts w:ascii="Century Gothic" w:eastAsia="Century Gothic" w:hAnsi="Century Gothic" w:cs="Century Gothic"/>
          <w:b/>
        </w:rPr>
        <w:t>-</w:t>
      </w:r>
      <w:r>
        <w:rPr>
          <w:rFonts w:ascii="Century Gothic" w:eastAsia="Century Gothic" w:hAnsi="Century Gothic" w:cs="Century Gothic"/>
          <w:b/>
        </w:rPr>
        <w:t>2020</w:t>
      </w:r>
    </w:p>
    <w:p w:rsidR="00A64D2A" w:rsidRDefault="002B1959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yellow"/>
        </w:rPr>
        <w:t xml:space="preserve">25 Total Days of Instruction?   </w:t>
      </w:r>
    </w:p>
    <w:p w:rsidR="00A64D2A" w:rsidRDefault="00A64D2A">
      <w:pPr>
        <w:jc w:val="center"/>
        <w:rPr>
          <w:rFonts w:ascii="Century Gothic" w:eastAsia="Century Gothic" w:hAnsi="Century Gothic" w:cs="Century Gothic"/>
        </w:rPr>
      </w:pPr>
    </w:p>
    <w:p w:rsidR="00A64D2A" w:rsidRDefault="00A64D2A">
      <w:pPr>
        <w:jc w:val="center"/>
        <w:rPr>
          <w:rFonts w:ascii="Century Gothic" w:eastAsia="Century Gothic" w:hAnsi="Century Gothic" w:cs="Century Gothic"/>
        </w:rPr>
      </w:pPr>
    </w:p>
    <w:p w:rsidR="00A64D2A" w:rsidRDefault="002B1959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Believe: </w:t>
      </w:r>
    </w:p>
    <w:p w:rsidR="00A64D2A" w:rsidRDefault="002B1959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:rsidR="00A64D2A" w:rsidRDefault="002B1959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will be able to read to find answers to life's big questions.</w:t>
      </w:r>
    </w:p>
    <w:p w:rsidR="00A64D2A" w:rsidRDefault="002B1959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should read a wide variety of text along the complexity</w:t>
      </w:r>
      <w:r>
        <w:rPr>
          <w:rFonts w:ascii="Century Gothic" w:eastAsia="Century Gothic" w:hAnsi="Century Gothic" w:cs="Century Gothic"/>
          <w:b/>
        </w:rPr>
        <w:tab/>
        <w:t>spectrum throughout each quarter.</w:t>
      </w:r>
      <w:r>
        <w:rPr>
          <w:rFonts w:ascii="Century Gothic" w:eastAsia="Century Gothic" w:hAnsi="Century Gothic" w:cs="Century Gothic"/>
          <w:b/>
        </w:rPr>
        <w:tab/>
      </w:r>
    </w:p>
    <w:p w:rsidR="00A64D2A" w:rsidRDefault="002B1959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write to organize their thoughts.</w:t>
      </w:r>
      <w:r>
        <w:rPr>
          <w:rFonts w:ascii="Century Gothic" w:eastAsia="Century Gothic" w:hAnsi="Century Gothic" w:cs="Century Gothic"/>
          <w:b/>
        </w:rPr>
        <w:tab/>
        <w:t xml:space="preserve"> </w:t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A64D2A" w:rsidRDefault="00A64D2A">
      <w:pPr>
        <w:rPr>
          <w:rFonts w:ascii="Century Gothic" w:eastAsia="Century Gothic" w:hAnsi="Century Gothic" w:cs="Century Gothic"/>
          <w:b/>
        </w:rPr>
      </w:pPr>
    </w:p>
    <w:p w:rsidR="00A64D2A" w:rsidRDefault="002B1959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Focus Standards:</w:t>
      </w:r>
    </w:p>
    <w:p w:rsidR="00A64D2A" w:rsidRDefault="002B1959">
      <w:pPr>
        <w:ind w:left="1440" w:firstLine="720"/>
        <w:rPr>
          <w:rFonts w:ascii="Century Gothic" w:eastAsia="Century Gothic" w:hAnsi="Century Gothic" w:cs="Century Gothic"/>
          <w:b/>
        </w:rPr>
      </w:pPr>
      <w:hyperlink r:id="rId5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TC Created Vertical Articulation of Reading Skills</w:t>
        </w:r>
      </w:hyperlink>
    </w:p>
    <w:p w:rsidR="00A64D2A" w:rsidRDefault="002B1959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Reading Literature (RL): Analyze works of literature for theme and writer’s purpose. Analyze poems for thoughts on similar topics. </w:t>
      </w:r>
    </w:p>
    <w:p w:rsidR="00A64D2A" w:rsidRDefault="002B1959">
      <w:pPr>
        <w:ind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entury Gothic" w:eastAsia="Century Gothic" w:hAnsi="Century Gothic" w:cs="Century Gothic"/>
          <w:b/>
          <w:sz w:val="20"/>
          <w:szCs w:val="20"/>
          <w:highlight w:val="cyan"/>
        </w:rPr>
        <w:t>RL.2.1</w:t>
      </w: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Anal</w:t>
      </w:r>
      <w:r>
        <w:rPr>
          <w:rFonts w:ascii="Calibri" w:eastAsia="Calibri" w:hAnsi="Calibri" w:cs="Calibri"/>
          <w:sz w:val="22"/>
          <w:szCs w:val="22"/>
        </w:rPr>
        <w:t xml:space="preserve">yze what a text says explicitly and implicitly as well as inferences and interpretations drawn from the text through citing textual evidence </w:t>
      </w:r>
    </w:p>
    <w:p w:rsidR="00A64D2A" w:rsidRDefault="002B1959">
      <w:pPr>
        <w:ind w:firstLine="720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alibri" w:eastAsia="Calibri" w:hAnsi="Calibri" w:cs="Calibri"/>
          <w:sz w:val="22"/>
          <w:szCs w:val="22"/>
        </w:rPr>
        <w:t>determining where the text leaves matters uncertain.</w:t>
      </w:r>
    </w:p>
    <w:p w:rsidR="00A64D2A" w:rsidRDefault="002B1959">
      <w:pPr>
        <w:ind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entury Gothic" w:eastAsia="Century Gothic" w:hAnsi="Century Gothic" w:cs="Century Gothic"/>
          <w:b/>
          <w:sz w:val="20"/>
          <w:szCs w:val="20"/>
          <w:highlight w:val="cyan"/>
        </w:rPr>
        <w:t>RL.2.2</w:t>
      </w: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Compare and contrast the development of similar themes across two or more works </w:t>
      </w:r>
      <w:proofErr w:type="gramStart"/>
      <w:r>
        <w:rPr>
          <w:rFonts w:ascii="Calibri" w:eastAsia="Calibri" w:hAnsi="Calibri" w:cs="Calibri"/>
          <w:sz w:val="22"/>
          <w:szCs w:val="22"/>
        </w:rPr>
        <w:t>of  literature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and analyze how they emerge and </w:t>
      </w:r>
    </w:p>
    <w:p w:rsidR="00A64D2A" w:rsidRDefault="002B1959">
      <w:pPr>
        <w:ind w:firstLine="720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alibri" w:eastAsia="Calibri" w:hAnsi="Calibri" w:cs="Calibri"/>
          <w:sz w:val="22"/>
          <w:szCs w:val="22"/>
        </w:rPr>
        <w:t>are shaped and refined by specific details.</w:t>
      </w:r>
    </w:p>
    <w:p w:rsidR="00A64D2A" w:rsidRDefault="002B1959">
      <w:pPr>
        <w:ind w:firstLine="720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entury Gothic" w:eastAsia="Century Gothic" w:hAnsi="Century Gothic" w:cs="Century Gothic"/>
          <w:b/>
          <w:sz w:val="20"/>
          <w:szCs w:val="20"/>
          <w:highlight w:val="cyan"/>
        </w:rPr>
        <w:t>RL.3.1</w:t>
      </w: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Analyze and evaluate how an author’s choices concerning how to structure spec</w:t>
      </w:r>
      <w:r>
        <w:rPr>
          <w:rFonts w:ascii="Calibri" w:eastAsia="Calibri" w:hAnsi="Calibri" w:cs="Calibri"/>
          <w:sz w:val="22"/>
          <w:szCs w:val="22"/>
        </w:rPr>
        <w:t xml:space="preserve">ific parts of a work </w:t>
      </w:r>
      <w:proofErr w:type="gramStart"/>
      <w:r>
        <w:rPr>
          <w:rFonts w:ascii="Calibri" w:eastAsia="Calibri" w:hAnsi="Calibri" w:cs="Calibri"/>
          <w:sz w:val="22"/>
          <w:szCs w:val="22"/>
        </w:rPr>
        <w:t>of  literature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(</w:t>
      </w:r>
      <w:r>
        <w:rPr>
          <w:rFonts w:ascii="Calibri" w:eastAsia="Calibri" w:hAnsi="Calibri" w:cs="Calibri"/>
          <w:i/>
          <w:sz w:val="22"/>
          <w:szCs w:val="22"/>
        </w:rPr>
        <w:t xml:space="preserve">e.g., the choice of where to begin or </w:t>
      </w:r>
    </w:p>
    <w:p w:rsidR="00A64D2A" w:rsidRDefault="002B1959">
      <w:pPr>
        <w:ind w:left="720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alibri" w:eastAsia="Calibri" w:hAnsi="Calibri" w:cs="Calibri"/>
          <w:i/>
          <w:sz w:val="22"/>
          <w:szCs w:val="22"/>
        </w:rPr>
        <w:t xml:space="preserve">end a story, the choice to provide a comedic or </w:t>
      </w:r>
      <w:proofErr w:type="gramStart"/>
      <w:r>
        <w:rPr>
          <w:rFonts w:ascii="Calibri" w:eastAsia="Calibri" w:hAnsi="Calibri" w:cs="Calibri"/>
          <w:i/>
          <w:sz w:val="22"/>
          <w:szCs w:val="22"/>
        </w:rPr>
        <w:t>tragic  resolution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) contribute to its overall meaning and effect of a work. </w:t>
      </w:r>
    </w:p>
    <w:p w:rsidR="00A64D2A" w:rsidRDefault="002B1959">
      <w:pPr>
        <w:ind w:left="720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  <w:b/>
          <w:sz w:val="20"/>
          <w:szCs w:val="20"/>
          <w:highlight w:val="cyan"/>
        </w:rPr>
        <w:t>RL.4.1</w:t>
      </w: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Analyze multiple interpretations or adaptations </w:t>
      </w:r>
      <w:r>
        <w:rPr>
          <w:rFonts w:ascii="Calibri" w:eastAsia="Calibri" w:hAnsi="Calibri" w:cs="Calibri"/>
          <w:sz w:val="22"/>
          <w:szCs w:val="22"/>
        </w:rPr>
        <w:t xml:space="preserve">of a story and evaluate the extent to which multiple interpretations of a story, play, or poem stay faithful to or departs from the text or script and analyze the impact of the interpretations on the audience. </w:t>
      </w:r>
    </w:p>
    <w:p w:rsidR="00A64D2A" w:rsidRDefault="002B1959">
      <w:pPr>
        <w:ind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entury Gothic" w:eastAsia="Century Gothic" w:hAnsi="Century Gothic" w:cs="Century Gothic"/>
          <w:b/>
          <w:sz w:val="20"/>
          <w:szCs w:val="20"/>
          <w:highlight w:val="cyan"/>
        </w:rPr>
        <w:t>RL.4.2</w:t>
      </w: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Analyze and evaluate works of literary</w:t>
      </w:r>
      <w:r>
        <w:rPr>
          <w:rFonts w:ascii="Calibri" w:eastAsia="Calibri" w:hAnsi="Calibri" w:cs="Calibri"/>
          <w:sz w:val="22"/>
          <w:szCs w:val="22"/>
        </w:rPr>
        <w:t xml:space="preserve"> or cultural significance in history for the way in which these works have used archetypes drawn from myths, </w:t>
      </w:r>
    </w:p>
    <w:p w:rsidR="00A64D2A" w:rsidRDefault="002B1959">
      <w:pPr>
        <w:ind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traditional stories, or religious works, as well as how two or more of the works treat similar themes, conflicts, issues, or topics and maintain r</w:t>
      </w:r>
      <w:r>
        <w:rPr>
          <w:rFonts w:ascii="Calibri" w:eastAsia="Calibri" w:hAnsi="Calibri" w:cs="Calibri"/>
          <w:sz w:val="22"/>
          <w:szCs w:val="22"/>
        </w:rPr>
        <w:t xml:space="preserve">elevance for </w:t>
      </w:r>
    </w:p>
    <w:p w:rsidR="00A64D2A" w:rsidRDefault="002B1959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alibri" w:eastAsia="Calibri" w:hAnsi="Calibri" w:cs="Calibri"/>
          <w:sz w:val="22"/>
          <w:szCs w:val="22"/>
        </w:rPr>
        <w:t>current audiences.</w:t>
      </w:r>
    </w:p>
    <w:p w:rsidR="00A64D2A" w:rsidRDefault="00A64D2A">
      <w:pPr>
        <w:ind w:left="720"/>
        <w:rPr>
          <w:rFonts w:ascii="Century Gothic" w:eastAsia="Century Gothic" w:hAnsi="Century Gothic" w:cs="Century Gothic"/>
          <w:b/>
        </w:rPr>
      </w:pPr>
    </w:p>
    <w:p w:rsidR="00A64D2A" w:rsidRDefault="002B1959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Reading Nonfiction (RN):</w:t>
      </w:r>
    </w:p>
    <w:p w:rsidR="00A64D2A" w:rsidRDefault="002B1959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:rsidR="00A64D2A" w:rsidRDefault="002B1959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Writing: </w:t>
      </w:r>
      <w:r>
        <w:rPr>
          <w:rFonts w:ascii="Century Gothic" w:eastAsia="Century Gothic" w:hAnsi="Century Gothic" w:cs="Century Gothic"/>
          <w:b/>
        </w:rPr>
        <w:tab/>
      </w:r>
      <w:hyperlink r:id="rId6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TC Created Vertical Articulation of Writing Skills</w:t>
        </w:r>
      </w:hyperlink>
    </w:p>
    <w:p w:rsidR="00A64D2A" w:rsidRDefault="002B1959">
      <w:pPr>
        <w:ind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entury Gothic" w:eastAsia="Century Gothic" w:hAnsi="Century Gothic" w:cs="Century Gothic"/>
          <w:b/>
          <w:sz w:val="20"/>
          <w:szCs w:val="20"/>
          <w:highlight w:val="cyan"/>
        </w:rPr>
        <w:t>W.1</w:t>
      </w: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Write routinely over a variety of time frames for a range of tasks, purposes, and audiences; </w:t>
      </w:r>
      <w:proofErr w:type="gramStart"/>
      <w:r>
        <w:rPr>
          <w:rFonts w:ascii="Calibri" w:eastAsia="Calibri" w:hAnsi="Calibri" w:cs="Calibri"/>
          <w:sz w:val="22"/>
          <w:szCs w:val="22"/>
        </w:rPr>
        <w:t>apply  reading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standards to support analysis, reflection, and </w:t>
      </w:r>
    </w:p>
    <w:p w:rsidR="00A64D2A" w:rsidRDefault="002B1959">
      <w:pPr>
        <w:ind w:firstLine="720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alibri" w:eastAsia="Calibri" w:hAnsi="Calibri" w:cs="Calibri"/>
          <w:sz w:val="22"/>
          <w:szCs w:val="22"/>
        </w:rPr>
        <w:t xml:space="preserve">research by drawing evidence from literature and nonfiction texts. </w:t>
      </w:r>
    </w:p>
    <w:p w:rsidR="00A64D2A" w:rsidRDefault="002B1959">
      <w:pPr>
        <w:ind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entury Gothic" w:eastAsia="Century Gothic" w:hAnsi="Century Gothic" w:cs="Century Gothic"/>
          <w:b/>
          <w:sz w:val="20"/>
          <w:szCs w:val="20"/>
          <w:highlight w:val="cyan"/>
        </w:rPr>
        <w:t>W.3.1</w:t>
      </w: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Write </w:t>
      </w:r>
      <w:r>
        <w:rPr>
          <w:rFonts w:ascii="Calibri" w:eastAsia="Calibri" w:hAnsi="Calibri" w:cs="Calibri"/>
          <w:b/>
          <w:sz w:val="22"/>
          <w:szCs w:val="22"/>
        </w:rPr>
        <w:t xml:space="preserve">arguments </w:t>
      </w:r>
      <w:r>
        <w:rPr>
          <w:rFonts w:ascii="Calibri" w:eastAsia="Calibri" w:hAnsi="Calibri" w:cs="Calibri"/>
          <w:sz w:val="22"/>
          <w:szCs w:val="22"/>
        </w:rPr>
        <w:t>in a varie</w:t>
      </w:r>
      <w:r>
        <w:rPr>
          <w:rFonts w:ascii="Calibri" w:eastAsia="Calibri" w:hAnsi="Calibri" w:cs="Calibri"/>
          <w:sz w:val="22"/>
          <w:szCs w:val="22"/>
        </w:rPr>
        <w:t xml:space="preserve">ty of forms that – </w:t>
      </w:r>
    </w:p>
    <w:p w:rsidR="00A64D2A" w:rsidRDefault="002B1959">
      <w:pPr>
        <w:widowControl w:val="0"/>
        <w:spacing w:before="11"/>
        <w:ind w:left="1686" w:right="182" w:firstLine="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● Introduce precise claim(s), establish the significance of the claim(s), distinguish </w:t>
      </w:r>
      <w:proofErr w:type="gramStart"/>
      <w:r>
        <w:rPr>
          <w:rFonts w:ascii="Calibri" w:eastAsia="Calibri" w:hAnsi="Calibri" w:cs="Calibri"/>
          <w:sz w:val="22"/>
          <w:szCs w:val="22"/>
        </w:rPr>
        <w:t>the  claim</w:t>
      </w:r>
      <w:proofErr w:type="gramEnd"/>
      <w:r>
        <w:rPr>
          <w:rFonts w:ascii="Calibri" w:eastAsia="Calibri" w:hAnsi="Calibri" w:cs="Calibri"/>
          <w:sz w:val="22"/>
          <w:szCs w:val="22"/>
        </w:rPr>
        <w:t>(s) from alternate or opposing claims, and create an organization that logically sequences  claim(s), counterclaims, reasons, and evidence.</w:t>
      </w:r>
    </w:p>
    <w:p w:rsidR="00A64D2A" w:rsidRDefault="00A64D2A">
      <w:pPr>
        <w:widowControl w:val="0"/>
        <w:spacing w:before="11"/>
        <w:ind w:left="1686" w:right="182" w:firstLine="9"/>
        <w:rPr>
          <w:rFonts w:ascii="Calibri" w:eastAsia="Calibri" w:hAnsi="Calibri" w:cs="Calibri"/>
          <w:sz w:val="22"/>
          <w:szCs w:val="22"/>
        </w:rPr>
      </w:pPr>
    </w:p>
    <w:p w:rsidR="00A64D2A" w:rsidRDefault="002B1959">
      <w:pPr>
        <w:widowControl w:val="0"/>
        <w:numPr>
          <w:ilvl w:val="0"/>
          <w:numId w:val="3"/>
        </w:numPr>
        <w:spacing w:before="11"/>
        <w:ind w:left="1980" w:right="18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Use rhetorical strategies to enhance the effectiveness of the claim.</w:t>
      </w:r>
    </w:p>
    <w:p w:rsidR="00A64D2A" w:rsidRDefault="002B1959">
      <w:pPr>
        <w:widowControl w:val="0"/>
        <w:spacing w:before="229"/>
        <w:ind w:left="1686" w:right="173" w:firstLine="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● Develop claim(s) and counterclaims fairly and thoroughly, supplying the most relevant evidence </w:t>
      </w:r>
      <w:proofErr w:type="gramStart"/>
      <w:r>
        <w:rPr>
          <w:rFonts w:ascii="Calibri" w:eastAsia="Calibri" w:hAnsi="Calibri" w:cs="Calibri"/>
          <w:sz w:val="22"/>
          <w:szCs w:val="22"/>
        </w:rPr>
        <w:t>for  each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while pointing out the strengths and limitations of both in a manner that antic</w:t>
      </w:r>
      <w:r>
        <w:rPr>
          <w:rFonts w:ascii="Calibri" w:eastAsia="Calibri" w:hAnsi="Calibri" w:cs="Calibri"/>
          <w:sz w:val="22"/>
          <w:szCs w:val="22"/>
        </w:rPr>
        <w:t xml:space="preserve">ipates the  audience’s knowledge level, concerns, values, and possible biases.  </w:t>
      </w:r>
    </w:p>
    <w:p w:rsidR="00A64D2A" w:rsidRDefault="002B1959">
      <w:pPr>
        <w:widowControl w:val="0"/>
        <w:spacing w:before="226"/>
        <w:ind w:left="1686" w:right="175" w:firstLine="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 xml:space="preserve">● Use effective and varied transitions as well as varied syntax to link the major sections of the text, </w:t>
      </w:r>
      <w:proofErr w:type="gramStart"/>
      <w:r>
        <w:rPr>
          <w:rFonts w:ascii="Calibri" w:eastAsia="Calibri" w:hAnsi="Calibri" w:cs="Calibri"/>
          <w:sz w:val="22"/>
          <w:szCs w:val="22"/>
        </w:rPr>
        <w:t>create  cohesion</w:t>
      </w:r>
      <w:proofErr w:type="gramEnd"/>
      <w:r>
        <w:rPr>
          <w:rFonts w:ascii="Calibri" w:eastAsia="Calibri" w:hAnsi="Calibri" w:cs="Calibri"/>
          <w:sz w:val="22"/>
          <w:szCs w:val="22"/>
        </w:rPr>
        <w:t>, and clarify the relationships between claim(s) and re</w:t>
      </w:r>
      <w:r>
        <w:rPr>
          <w:rFonts w:ascii="Calibri" w:eastAsia="Calibri" w:hAnsi="Calibri" w:cs="Calibri"/>
          <w:sz w:val="22"/>
          <w:szCs w:val="22"/>
        </w:rPr>
        <w:t xml:space="preserve">asons, between reasons and evidence,  and between claim(s) and counterclaims.  </w:t>
      </w:r>
    </w:p>
    <w:p w:rsidR="00A64D2A" w:rsidRDefault="002B1959">
      <w:pPr>
        <w:widowControl w:val="0"/>
        <w:spacing w:before="276"/>
        <w:ind w:left="1695" w:right="223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● Establish and maintain a consistent style and tone appropriate to purpose and audience. </w:t>
      </w:r>
    </w:p>
    <w:p w:rsidR="00A64D2A" w:rsidRDefault="002B1959">
      <w:pPr>
        <w:widowControl w:val="0"/>
        <w:spacing w:before="276"/>
        <w:ind w:left="1695" w:right="223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alibri" w:eastAsia="Calibri" w:hAnsi="Calibri" w:cs="Calibri"/>
          <w:sz w:val="22"/>
          <w:szCs w:val="22"/>
        </w:rPr>
        <w:t xml:space="preserve"> ● Provide a concluding statement or section that follows from and supports the argum</w:t>
      </w:r>
      <w:r>
        <w:rPr>
          <w:rFonts w:ascii="Calibri" w:eastAsia="Calibri" w:hAnsi="Calibri" w:cs="Calibri"/>
          <w:sz w:val="22"/>
          <w:szCs w:val="22"/>
        </w:rPr>
        <w:t>ent presented.</w:t>
      </w:r>
    </w:p>
    <w:p w:rsidR="00A64D2A" w:rsidRDefault="002B1959">
      <w:pPr>
        <w:ind w:firstLine="720"/>
        <w:rPr>
          <w:rFonts w:ascii="Calibri" w:eastAsia="Calibri" w:hAnsi="Calibri" w:cs="Calibri"/>
          <w:sz w:val="22"/>
          <w:szCs w:val="22"/>
        </w:rPr>
      </w:pPr>
      <w:r>
        <w:rPr>
          <w:rFonts w:ascii="Century Gothic" w:eastAsia="Century Gothic" w:hAnsi="Century Gothic" w:cs="Century Gothic"/>
          <w:b/>
          <w:sz w:val="20"/>
          <w:szCs w:val="20"/>
          <w:highlight w:val="cyan"/>
        </w:rPr>
        <w:t>W.4</w:t>
      </w: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Apply the </w:t>
      </w:r>
      <w:r>
        <w:rPr>
          <w:rFonts w:ascii="Calibri" w:eastAsia="Calibri" w:hAnsi="Calibri" w:cs="Calibri"/>
          <w:b/>
          <w:sz w:val="22"/>
          <w:szCs w:val="22"/>
        </w:rPr>
        <w:t xml:space="preserve">writing process </w:t>
      </w:r>
      <w:r>
        <w:rPr>
          <w:rFonts w:ascii="Calibri" w:eastAsia="Calibri" w:hAnsi="Calibri" w:cs="Calibri"/>
          <w:sz w:val="22"/>
          <w:szCs w:val="22"/>
        </w:rPr>
        <w:t>to all formal writing including but not limited to argumentative, informative, and narrative.</w:t>
      </w:r>
    </w:p>
    <w:p w:rsidR="00A64D2A" w:rsidRDefault="002B1959">
      <w:pPr>
        <w:widowControl w:val="0"/>
        <w:spacing w:before="11" w:line="243" w:lineRule="auto"/>
        <w:ind w:left="1663" w:right="232" w:firstLine="15"/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alibri" w:eastAsia="Calibri" w:hAnsi="Calibri" w:cs="Calibri"/>
          <w:sz w:val="22"/>
          <w:szCs w:val="22"/>
        </w:rPr>
        <w:t xml:space="preserve">● Plan and develop; draft; revise using appropriate reference materials; rewrite; try a new </w:t>
      </w:r>
      <w:proofErr w:type="gramStart"/>
      <w:r>
        <w:rPr>
          <w:rFonts w:ascii="Calibri" w:eastAsia="Calibri" w:hAnsi="Calibri" w:cs="Calibri"/>
          <w:sz w:val="22"/>
          <w:szCs w:val="22"/>
        </w:rPr>
        <w:t>approach,  focusing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on ad</w:t>
      </w:r>
      <w:r>
        <w:rPr>
          <w:rFonts w:ascii="Calibri" w:eastAsia="Calibri" w:hAnsi="Calibri" w:cs="Calibri"/>
          <w:sz w:val="22"/>
          <w:szCs w:val="22"/>
        </w:rPr>
        <w:t xml:space="preserve">dressing what is most significant for a specific purpose and audience; and edit to  produce and strengthen writing that is clear and coherent. </w:t>
      </w:r>
    </w:p>
    <w:p w:rsidR="00A64D2A" w:rsidRDefault="002B1959">
      <w:pPr>
        <w:widowControl w:val="0"/>
        <w:spacing w:before="186" w:line="243" w:lineRule="auto"/>
        <w:ind w:left="1676" w:right="290" w:firstLine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● Use technology to generate, produce, publish, and update individual or shared writing products </w:t>
      </w:r>
      <w:proofErr w:type="gramStart"/>
      <w:r>
        <w:rPr>
          <w:rFonts w:ascii="Calibri" w:eastAsia="Calibri" w:hAnsi="Calibri" w:cs="Calibri"/>
          <w:sz w:val="22"/>
          <w:szCs w:val="22"/>
        </w:rPr>
        <w:t>in  response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to</w:t>
      </w:r>
      <w:r>
        <w:rPr>
          <w:rFonts w:ascii="Calibri" w:eastAsia="Calibri" w:hAnsi="Calibri" w:cs="Calibri"/>
          <w:sz w:val="22"/>
          <w:szCs w:val="22"/>
        </w:rPr>
        <w:t xml:space="preserve"> ongoing feedback, including new arguments or information.  </w:t>
      </w:r>
    </w:p>
    <w:p w:rsidR="00A64D2A" w:rsidRDefault="002B1959">
      <w:pPr>
        <w:widowControl w:val="0"/>
        <w:numPr>
          <w:ilvl w:val="0"/>
          <w:numId w:val="2"/>
        </w:numPr>
        <w:spacing w:before="186" w:line="243" w:lineRule="auto"/>
        <w:ind w:right="29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Utilize a standard style guide framework for in-text documentation, formatting, and works cited in order to properly credit sources in all writing types, utilizing multiple sources when appropriate</w:t>
      </w:r>
    </w:p>
    <w:p w:rsidR="00A64D2A" w:rsidRDefault="00A64D2A">
      <w:pPr>
        <w:ind w:firstLine="720"/>
        <w:rPr>
          <w:rFonts w:ascii="Century Gothic" w:eastAsia="Century Gothic" w:hAnsi="Century Gothic" w:cs="Century Gothic"/>
          <w:b/>
          <w:sz w:val="20"/>
          <w:szCs w:val="20"/>
        </w:rPr>
      </w:pPr>
    </w:p>
    <w:p w:rsidR="00A64D2A" w:rsidRDefault="002B1959">
      <w:pPr>
        <w:numPr>
          <w:ilvl w:val="0"/>
          <w:numId w:val="1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 Genres: narrative, argumentative</w:t>
      </w:r>
    </w:p>
    <w:p w:rsidR="00A64D2A" w:rsidRDefault="002B1959">
      <w:pPr>
        <w:numPr>
          <w:ilvl w:val="0"/>
          <w:numId w:val="1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Research Experie</w:t>
      </w:r>
      <w:r>
        <w:rPr>
          <w:rFonts w:ascii="Century Gothic" w:eastAsia="Century Gothic" w:hAnsi="Century Gothic" w:cs="Century Gothic"/>
          <w:b/>
        </w:rPr>
        <w:t xml:space="preserve">nces: Renaissance People </w:t>
      </w:r>
      <w:proofErr w:type="spellStart"/>
      <w:r>
        <w:rPr>
          <w:rFonts w:ascii="Century Gothic" w:eastAsia="Century Gothic" w:hAnsi="Century Gothic" w:cs="Century Gothic"/>
          <w:b/>
        </w:rPr>
        <w:t>Webquest</w:t>
      </w:r>
      <w:proofErr w:type="spellEnd"/>
    </w:p>
    <w:p w:rsidR="00A64D2A" w:rsidRDefault="00A64D2A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A64D2A" w:rsidRDefault="002B1959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Speaking/Listening:</w:t>
      </w:r>
    </w:p>
    <w:p w:rsidR="00A64D2A" w:rsidRDefault="00A64D2A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A64D2A" w:rsidRDefault="002B1959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Media Literacy:</w:t>
      </w:r>
    </w:p>
    <w:p w:rsidR="00A64D2A" w:rsidRDefault="00A64D2A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A64D2A" w:rsidRDefault="00A64D2A">
      <w:pPr>
        <w:ind w:left="720"/>
        <w:rPr>
          <w:rFonts w:ascii="Century Gothic" w:eastAsia="Century Gothic" w:hAnsi="Century Gothic" w:cs="Century Gothic"/>
          <w:b/>
        </w:rPr>
      </w:pPr>
    </w:p>
    <w:p w:rsidR="00A64D2A" w:rsidRDefault="002B1959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7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:rsidR="00A64D2A" w:rsidRDefault="00A64D2A">
      <w:pPr>
        <w:ind w:left="720"/>
        <w:rPr>
          <w:rFonts w:ascii="Century Gothic" w:eastAsia="Century Gothic" w:hAnsi="Century Gothic" w:cs="Century Gothic"/>
          <w:b/>
        </w:rPr>
      </w:pPr>
    </w:p>
    <w:p w:rsidR="00A64D2A" w:rsidRDefault="002B1959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ELA Vertical Standards:  </w:t>
      </w:r>
      <w:hyperlink r:id="rId8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9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  <w:r>
        <w:rPr>
          <w:rFonts w:ascii="Century Gothic" w:eastAsia="Century Gothic" w:hAnsi="Century Gothic" w:cs="Century Gothic"/>
          <w:b/>
        </w:rPr>
        <w:t xml:space="preserve"> </w:t>
      </w:r>
    </w:p>
    <w:p w:rsidR="00A64D2A" w:rsidRDefault="00A64D2A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A64D2A" w:rsidRDefault="00A64D2A">
      <w:pPr>
        <w:rPr>
          <w:rFonts w:ascii="Century Gothic" w:eastAsia="Century Gothic" w:hAnsi="Century Gothic" w:cs="Century Gothic"/>
          <w:b/>
        </w:rPr>
      </w:pPr>
    </w:p>
    <w:p w:rsidR="00A64D2A" w:rsidRDefault="00A64D2A">
      <w:pPr>
        <w:rPr>
          <w:rFonts w:ascii="Century Gothic" w:eastAsia="Century Gothic" w:hAnsi="Century Gothic" w:cs="Century Gothic"/>
          <w:b/>
        </w:rPr>
      </w:pPr>
    </w:p>
    <w:p w:rsidR="00A64D2A" w:rsidRDefault="00A64D2A">
      <w:pPr>
        <w:rPr>
          <w:rFonts w:ascii="Century Gothic" w:eastAsia="Century Gothic" w:hAnsi="Century Gothic" w:cs="Century Gothic"/>
          <w:b/>
        </w:rPr>
      </w:pPr>
    </w:p>
    <w:p w:rsidR="00A64D2A" w:rsidRDefault="00A64D2A">
      <w:pPr>
        <w:rPr>
          <w:rFonts w:ascii="Century Gothic" w:eastAsia="Century Gothic" w:hAnsi="Century Gothic" w:cs="Century Gothic"/>
          <w:b/>
        </w:rPr>
      </w:pPr>
    </w:p>
    <w:p w:rsidR="00A64D2A" w:rsidRDefault="00A64D2A">
      <w:pPr>
        <w:rPr>
          <w:rFonts w:ascii="Century Gothic" w:eastAsia="Century Gothic" w:hAnsi="Century Gothic" w:cs="Century Gothic"/>
          <w:b/>
        </w:rPr>
      </w:pPr>
    </w:p>
    <w:p w:rsidR="00A64D2A" w:rsidRDefault="00A64D2A">
      <w:pPr>
        <w:rPr>
          <w:rFonts w:ascii="Century Gothic" w:eastAsia="Century Gothic" w:hAnsi="Century Gothic" w:cs="Century Gothic"/>
          <w:b/>
        </w:rPr>
      </w:pPr>
    </w:p>
    <w:p w:rsidR="00A64D2A" w:rsidRDefault="00A64D2A">
      <w:pPr>
        <w:rPr>
          <w:rFonts w:ascii="Century Gothic" w:eastAsia="Century Gothic" w:hAnsi="Century Gothic" w:cs="Century Gothic"/>
          <w:b/>
        </w:rPr>
      </w:pPr>
    </w:p>
    <w:p w:rsidR="00A64D2A" w:rsidRDefault="00A64D2A">
      <w:pPr>
        <w:rPr>
          <w:rFonts w:ascii="Century Gothic" w:eastAsia="Century Gothic" w:hAnsi="Century Gothic" w:cs="Century Gothic"/>
          <w:b/>
        </w:rPr>
      </w:pPr>
    </w:p>
    <w:p w:rsidR="00A64D2A" w:rsidRDefault="00A64D2A">
      <w:pPr>
        <w:rPr>
          <w:rFonts w:ascii="Century Gothic" w:eastAsia="Century Gothic" w:hAnsi="Century Gothic" w:cs="Century Gothic"/>
          <w:b/>
        </w:rPr>
      </w:pPr>
    </w:p>
    <w:p w:rsidR="00A64D2A" w:rsidRDefault="00A64D2A">
      <w:pPr>
        <w:rPr>
          <w:rFonts w:ascii="Century Gothic" w:eastAsia="Century Gothic" w:hAnsi="Century Gothic" w:cs="Century Gothic"/>
          <w:b/>
        </w:rPr>
      </w:pPr>
    </w:p>
    <w:p w:rsidR="00A64D2A" w:rsidRDefault="00A64D2A">
      <w:pPr>
        <w:rPr>
          <w:rFonts w:ascii="Century Gothic" w:eastAsia="Century Gothic" w:hAnsi="Century Gothic" w:cs="Century Gothic"/>
          <w:b/>
        </w:rPr>
      </w:pPr>
    </w:p>
    <w:p w:rsidR="00A64D2A" w:rsidRDefault="00A64D2A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2283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5"/>
        <w:gridCol w:w="1155"/>
        <w:gridCol w:w="1350"/>
        <w:gridCol w:w="2895"/>
        <w:gridCol w:w="2293"/>
        <w:gridCol w:w="2235"/>
        <w:gridCol w:w="900"/>
      </w:tblGrid>
      <w:tr w:rsidR="00A64D2A">
        <w:tc>
          <w:tcPr>
            <w:tcW w:w="1455" w:type="dxa"/>
            <w:shd w:val="clear" w:color="auto" w:fill="CCCCCC"/>
          </w:tcPr>
          <w:p w:rsidR="00A64D2A" w:rsidRDefault="002B1959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UNIT</w:t>
            </w:r>
          </w:p>
        </w:tc>
        <w:tc>
          <w:tcPr>
            <w:tcW w:w="1155" w:type="dxa"/>
            <w:shd w:val="clear" w:color="auto" w:fill="CCCCCC"/>
          </w:tcPr>
          <w:p w:rsidR="00A64D2A" w:rsidRDefault="002B1959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OUR MAP SKILLS</w:t>
            </w:r>
          </w:p>
          <w:p w:rsidR="00A64D2A" w:rsidRDefault="00A64D2A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CCCCCC"/>
          </w:tcPr>
          <w:p w:rsidR="00A64D2A" w:rsidRDefault="002B1959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STANDARDS</w:t>
            </w:r>
          </w:p>
        </w:tc>
        <w:tc>
          <w:tcPr>
            <w:tcW w:w="2895" w:type="dxa"/>
            <w:shd w:val="clear" w:color="auto" w:fill="CCCCCC"/>
          </w:tcPr>
          <w:p w:rsidR="00A64D2A" w:rsidRDefault="002B1959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ASSESSMENTS</w:t>
            </w:r>
          </w:p>
        </w:tc>
        <w:tc>
          <w:tcPr>
            <w:tcW w:w="2293" w:type="dxa"/>
            <w:shd w:val="clear" w:color="auto" w:fill="CCCCCC"/>
          </w:tcPr>
          <w:p w:rsidR="00A64D2A" w:rsidRDefault="002B1959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VOCABULARY</w:t>
            </w:r>
          </w:p>
        </w:tc>
        <w:tc>
          <w:tcPr>
            <w:tcW w:w="2235" w:type="dxa"/>
            <w:shd w:val="clear" w:color="auto" w:fill="CCCCCC"/>
          </w:tcPr>
          <w:p w:rsidR="00A64D2A" w:rsidRDefault="002B1959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RESOURCES </w:t>
            </w:r>
          </w:p>
          <w:p w:rsidR="00A64D2A" w:rsidRDefault="002B1959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(Include Lexile of Extended Texts)</w:t>
            </w:r>
          </w:p>
        </w:tc>
        <w:tc>
          <w:tcPr>
            <w:tcW w:w="900" w:type="dxa"/>
            <w:shd w:val="clear" w:color="auto" w:fill="CCCCCC"/>
          </w:tcPr>
          <w:p w:rsidR="00A64D2A" w:rsidRDefault="002B1959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TIME SPENT</w:t>
            </w:r>
          </w:p>
        </w:tc>
      </w:tr>
      <w:tr w:rsidR="00A64D2A">
        <w:trPr>
          <w:trHeight w:val="675"/>
        </w:trPr>
        <w:tc>
          <w:tcPr>
            <w:tcW w:w="1455" w:type="dxa"/>
            <w:vMerge w:val="restart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Anglo-Saxon &amp; Medieval Literature</w:t>
            </w:r>
          </w:p>
        </w:tc>
        <w:tc>
          <w:tcPr>
            <w:tcW w:w="1155" w:type="dxa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Reading: </w:t>
            </w:r>
          </w:p>
        </w:tc>
        <w:tc>
          <w:tcPr>
            <w:tcW w:w="1350" w:type="dxa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RL.2.1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RL.2.2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RL.4.2</w:t>
            </w:r>
          </w:p>
        </w:tc>
        <w:tc>
          <w:tcPr>
            <w:tcW w:w="2895" w:type="dxa"/>
          </w:tcPr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93" w:type="dxa"/>
            <w:vMerge w:val="restart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Anglo-Saxon Hero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Chivalry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Frame Tale/ Narrative</w:t>
            </w:r>
          </w:p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35" w:type="dxa"/>
            <w:vMerge w:val="restart"/>
          </w:tcPr>
          <w:p w:rsidR="00A64D2A" w:rsidRDefault="002B1959">
            <w:pP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from 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Beowulf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“The Miller’s Tale”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“Wife of Bath’s Tale”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Exeter Riddles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“Sir Gawain and the Green Knight”</w:t>
            </w:r>
          </w:p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5 weeks</w:t>
            </w:r>
          </w:p>
        </w:tc>
      </w:tr>
      <w:tr w:rsidR="00A64D2A">
        <w:trPr>
          <w:trHeight w:val="1040"/>
        </w:trPr>
        <w:tc>
          <w:tcPr>
            <w:tcW w:w="1455" w:type="dxa"/>
            <w:vMerge/>
          </w:tcPr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155" w:type="dxa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Writing:</w:t>
            </w:r>
          </w:p>
        </w:tc>
        <w:tc>
          <w:tcPr>
            <w:tcW w:w="1350" w:type="dxa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W.3.1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W.4</w:t>
            </w:r>
          </w:p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895" w:type="dxa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Define Medieval chivalry and argue whether it exists today</w:t>
            </w:r>
          </w:p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Write an “Exeter” Riddle</w:t>
            </w:r>
          </w:p>
        </w:tc>
        <w:tc>
          <w:tcPr>
            <w:tcW w:w="2293" w:type="dxa"/>
            <w:vMerge/>
          </w:tcPr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35" w:type="dxa"/>
            <w:vMerge/>
          </w:tcPr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A64D2A">
        <w:trPr>
          <w:trHeight w:val="200"/>
        </w:trPr>
        <w:tc>
          <w:tcPr>
            <w:tcW w:w="1455" w:type="dxa"/>
            <w:vMerge w:val="restart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Renaissance (Poetry)</w:t>
            </w:r>
          </w:p>
        </w:tc>
        <w:tc>
          <w:tcPr>
            <w:tcW w:w="1155" w:type="dxa"/>
          </w:tcPr>
          <w:p w:rsidR="00A64D2A" w:rsidRDefault="002B1959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Reading </w:t>
            </w:r>
          </w:p>
        </w:tc>
        <w:tc>
          <w:tcPr>
            <w:tcW w:w="1350" w:type="dxa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RL.2.1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RL.2.2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RL.3.1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RL.4.1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RL.4.2</w:t>
            </w:r>
          </w:p>
        </w:tc>
        <w:tc>
          <w:tcPr>
            <w:tcW w:w="2895" w:type="dxa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Close Reading Analysis Questions</w:t>
            </w:r>
          </w:p>
        </w:tc>
        <w:tc>
          <w:tcPr>
            <w:tcW w:w="2293" w:type="dxa"/>
            <w:vMerge w:val="restart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Renaissance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English and Italian Sonnets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Quatrain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Octave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Sestet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Couplet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Volta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Rhyme Scheme</w:t>
            </w: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Iambic Pentameter</w:t>
            </w:r>
          </w:p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35" w:type="dxa"/>
            <w:vMerge w:val="restart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Shakespeare Sonnets 130, 29, 71, 30, 18, 116, 73</w:t>
            </w:r>
          </w:p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Italian Sonnets 30, 75, “Long While I Sought,” “Love that Doth Reign” (two different translations), “Whoso List to Hunt”</w:t>
            </w:r>
          </w:p>
        </w:tc>
        <w:tc>
          <w:tcPr>
            <w:tcW w:w="900" w:type="dxa"/>
            <w:vMerge w:val="restart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 weeks</w:t>
            </w:r>
          </w:p>
        </w:tc>
      </w:tr>
      <w:tr w:rsidR="00A64D2A">
        <w:trPr>
          <w:trHeight w:val="200"/>
        </w:trPr>
        <w:tc>
          <w:tcPr>
            <w:tcW w:w="1455" w:type="dxa"/>
            <w:vMerge/>
          </w:tcPr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155" w:type="dxa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</w:t>
            </w:r>
          </w:p>
        </w:tc>
        <w:tc>
          <w:tcPr>
            <w:tcW w:w="1350" w:type="dxa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W.1</w:t>
            </w:r>
          </w:p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yellow"/>
              </w:rPr>
            </w:pPr>
          </w:p>
        </w:tc>
        <w:tc>
          <w:tcPr>
            <w:tcW w:w="2895" w:type="dxa"/>
          </w:tcPr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Write Your Own Sonnet</w:t>
            </w:r>
          </w:p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A64D2A" w:rsidRDefault="002B1959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Renaissance People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Webquest</w:t>
            </w:r>
            <w:proofErr w:type="spellEnd"/>
          </w:p>
        </w:tc>
        <w:tc>
          <w:tcPr>
            <w:tcW w:w="2293" w:type="dxa"/>
            <w:vMerge/>
          </w:tcPr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235" w:type="dxa"/>
            <w:vMerge/>
          </w:tcPr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A64D2A" w:rsidRDefault="00A64D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:rsidR="00A64D2A" w:rsidRDefault="00A64D2A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A64D2A" w:rsidRDefault="00A64D2A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A64D2A" w:rsidRDefault="00A64D2A">
      <w:pPr>
        <w:rPr>
          <w:rFonts w:ascii="Century Gothic" w:eastAsia="Century Gothic" w:hAnsi="Century Gothic" w:cs="Century Gothic"/>
          <w:sz w:val="20"/>
          <w:szCs w:val="20"/>
        </w:rPr>
      </w:pPr>
    </w:p>
    <w:p w:rsidR="00A64D2A" w:rsidRDefault="00A64D2A">
      <w:pPr>
        <w:rPr>
          <w:rFonts w:ascii="Century Gothic" w:eastAsia="Century Gothic" w:hAnsi="Century Gothic" w:cs="Century Gothic"/>
          <w:sz w:val="20"/>
          <w:szCs w:val="20"/>
        </w:rPr>
      </w:pPr>
    </w:p>
    <w:p w:rsidR="00A64D2A" w:rsidRDefault="00A64D2A">
      <w:pPr>
        <w:rPr>
          <w:rFonts w:ascii="Century Gothic" w:eastAsia="Century Gothic" w:hAnsi="Century Gothic" w:cs="Century Gothic"/>
          <w:sz w:val="20"/>
          <w:szCs w:val="20"/>
        </w:rPr>
      </w:pPr>
    </w:p>
    <w:p w:rsidR="00A64D2A" w:rsidRDefault="00A64D2A">
      <w:pPr>
        <w:rPr>
          <w:rFonts w:ascii="Century Gothic" w:eastAsia="Century Gothic" w:hAnsi="Century Gothic" w:cs="Century Gothic"/>
          <w:sz w:val="20"/>
          <w:szCs w:val="20"/>
        </w:rPr>
      </w:pPr>
    </w:p>
    <w:sectPr w:rsidR="00A64D2A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C1E9E"/>
    <w:multiLevelType w:val="multilevel"/>
    <w:tmpl w:val="A9387BAA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" w15:restartNumberingAfterBreak="0">
    <w:nsid w:val="62117650"/>
    <w:multiLevelType w:val="multilevel"/>
    <w:tmpl w:val="6A96621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6B74099F"/>
    <w:multiLevelType w:val="multilevel"/>
    <w:tmpl w:val="6E9836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D2A"/>
    <w:rsid w:val="002B1959"/>
    <w:rsid w:val="00A6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AA8C18-1266-41AE-9F56-5C10BFB9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O6cUCx3ilXNH_1YwHs84rF8AVjMNQHBc/view?usp=sharin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xv2t5SvYJxe_mvl75Nq3OtzH_4IbFGSV/view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spreadsheets/d/1OlWZ0rMtBqB6veWkoL1Ry3wFBzUWbIvwUd_Um1PqoGE/edit?usp=sharin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cs.google.com/spreadsheets/d/1zVTSWqlRFaT84TyhcjrREZzoLhNcWK9hMPiq8i1u_e0/edit?usp=sharin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BnR3GS1vRqORmEFWvxzKb-p7RZQTC2e6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2023-06-19T17:33:00Z</dcterms:created>
  <dcterms:modified xsi:type="dcterms:W3CDTF">2023-06-19T17:33:00Z</dcterms:modified>
</cp:coreProperties>
</file>